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252BB">
      <w:pPr>
        <w:pStyle w:val="Heading1"/>
        <w:pBdr>
          <w:bottom w:val="none" w:sz="0" w:space="0" w:color="auto"/>
        </w:pBdr>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661AE5" w:rsidRDefault="004006C0" w:rsidP="001252BB">
      <w:pPr>
        <w:pBdr>
          <w:bottom w:val="single" w:sz="4" w:space="1" w:color="auto"/>
        </w:pBdr>
        <w:rPr>
          <w:rFonts w:ascii="Arial" w:eastAsiaTheme="majorEastAsia" w:hAnsi="Arial" w:cstheme="majorBidi"/>
          <w:b/>
          <w:bCs/>
          <w:caps/>
          <w:sz w:val="26"/>
          <w:szCs w:val="24"/>
        </w:rPr>
      </w:pPr>
      <w:bookmarkStart w:id="1" w:name="_Toc465846429"/>
      <w:r w:rsidRPr="00DC462C">
        <w:rPr>
          <w:rFonts w:ascii="Arial" w:eastAsiaTheme="majorEastAsia" w:hAnsi="Arial" w:cstheme="majorBidi"/>
          <w:b/>
          <w:bCs/>
          <w:caps/>
          <w:sz w:val="26"/>
          <w:szCs w:val="24"/>
        </w:rPr>
        <w:t>Legal adviser, Department of state</w:t>
      </w:r>
      <w:bookmarkEnd w:id="1"/>
    </w:p>
    <w:p w:rsidR="004006C0" w:rsidRPr="00224D1E" w:rsidRDefault="004006C0"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0"/>
        <w:gridCol w:w="6835"/>
        <w:gridCol w:w="7"/>
      </w:tblGrid>
      <w:tr w:rsidR="004006C0" w:rsidRPr="001252BB" w:rsidTr="001252BB">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4006C0" w:rsidRPr="001252BB" w:rsidRDefault="004006C0" w:rsidP="00E4729D">
            <w:pPr>
              <w:contextualSpacing/>
              <w:jc w:val="center"/>
              <w:rPr>
                <w:rFonts w:asciiTheme="majorHAnsi" w:hAnsiTheme="majorHAnsi" w:cstheme="majorHAnsi"/>
                <w:b/>
              </w:rPr>
            </w:pPr>
            <w:r w:rsidRPr="001252BB">
              <w:rPr>
                <w:rFonts w:asciiTheme="majorHAnsi" w:hAnsiTheme="majorHAnsi" w:cstheme="majorHAnsi"/>
                <w:b/>
              </w:rPr>
              <w:t>OVERVIEW</w:t>
            </w:r>
          </w:p>
        </w:tc>
      </w:tr>
      <w:tr w:rsidR="004006C0" w:rsidRPr="001252BB" w:rsidTr="001252BB">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006C0" w:rsidRPr="001252BB" w:rsidRDefault="004006C0" w:rsidP="00E4729D">
            <w:pPr>
              <w:contextualSpacing/>
              <w:rPr>
                <w:rFonts w:asciiTheme="majorHAnsi" w:hAnsiTheme="majorHAnsi" w:cstheme="majorHAnsi"/>
              </w:rPr>
            </w:pPr>
            <w:r w:rsidRPr="001252BB">
              <w:rPr>
                <w:rFonts w:asciiTheme="majorHAnsi" w:hAnsiTheme="majorHAnsi" w:cstheme="majorHAnsi"/>
              </w:rPr>
              <w:t>Senate Committee</w:t>
            </w:r>
          </w:p>
        </w:tc>
        <w:tc>
          <w:tcPr>
            <w:tcW w:w="6841" w:type="dxa"/>
            <w:gridSpan w:val="2"/>
            <w:tcBorders>
              <w:top w:val="single" w:sz="2" w:space="0" w:color="auto"/>
              <w:left w:val="single" w:sz="2" w:space="0" w:color="auto"/>
              <w:bottom w:val="single" w:sz="2" w:space="0" w:color="auto"/>
              <w:right w:val="single" w:sz="2" w:space="0" w:color="auto"/>
            </w:tcBorders>
          </w:tcPr>
          <w:p w:rsidR="004006C0" w:rsidRPr="001252BB" w:rsidRDefault="004006C0" w:rsidP="00E4729D">
            <w:pPr>
              <w:contextualSpacing/>
              <w:rPr>
                <w:rFonts w:asciiTheme="majorHAnsi" w:hAnsiTheme="majorHAnsi" w:cstheme="majorHAnsi"/>
                <w:bCs/>
              </w:rPr>
            </w:pPr>
            <w:r w:rsidRPr="001252BB">
              <w:rPr>
                <w:rFonts w:asciiTheme="majorHAnsi" w:hAnsiTheme="majorHAnsi" w:cstheme="majorHAnsi"/>
                <w:bCs/>
              </w:rPr>
              <w:t xml:space="preserve">Foreign Relations </w:t>
            </w:r>
          </w:p>
        </w:tc>
      </w:tr>
      <w:tr w:rsidR="004006C0" w:rsidRPr="001252BB" w:rsidTr="001252BB">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006C0" w:rsidRPr="001252BB" w:rsidRDefault="004006C0" w:rsidP="00E4729D">
            <w:pPr>
              <w:contextualSpacing/>
              <w:rPr>
                <w:rFonts w:asciiTheme="majorHAnsi" w:hAnsiTheme="majorHAnsi" w:cstheme="majorHAnsi"/>
              </w:rPr>
            </w:pPr>
            <w:r w:rsidRPr="001252BB">
              <w:rPr>
                <w:rFonts w:asciiTheme="majorHAnsi" w:hAnsiTheme="majorHAnsi" w:cstheme="majorHAnsi"/>
              </w:rPr>
              <w:t>Agency Mission</w:t>
            </w:r>
          </w:p>
        </w:tc>
        <w:tc>
          <w:tcPr>
            <w:tcW w:w="6841" w:type="dxa"/>
            <w:gridSpan w:val="2"/>
            <w:tcBorders>
              <w:top w:val="single" w:sz="2" w:space="0" w:color="auto"/>
              <w:left w:val="single" w:sz="2" w:space="0" w:color="auto"/>
              <w:bottom w:val="single" w:sz="2" w:space="0" w:color="auto"/>
              <w:right w:val="single" w:sz="2" w:space="0" w:color="auto"/>
            </w:tcBorders>
          </w:tcPr>
          <w:p w:rsidR="004006C0" w:rsidRPr="001252BB" w:rsidRDefault="004006C0" w:rsidP="00E4729D">
            <w:pPr>
              <w:contextualSpacing/>
              <w:rPr>
                <w:rFonts w:asciiTheme="majorHAnsi" w:hAnsiTheme="majorHAnsi" w:cstheme="majorHAnsi"/>
              </w:rPr>
            </w:pPr>
            <w:r w:rsidRPr="001252BB">
              <w:rPr>
                <w:rFonts w:asciiTheme="majorHAnsi" w:hAnsiTheme="majorHAnsi" w:cstheme="majorHAnsi"/>
              </w:rPr>
              <w:t>The Department of State is the lead institution for the conduct of American diplomacy and the secretary of State is the president’s principal foreign policy advisor.</w:t>
            </w:r>
          </w:p>
        </w:tc>
      </w:tr>
      <w:tr w:rsidR="004006C0" w:rsidRPr="001252BB" w:rsidTr="001252BB">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006C0" w:rsidRPr="001252BB" w:rsidRDefault="004006C0" w:rsidP="00E4729D">
            <w:pPr>
              <w:contextualSpacing/>
              <w:rPr>
                <w:rFonts w:asciiTheme="majorHAnsi" w:hAnsiTheme="majorHAnsi" w:cstheme="majorHAnsi"/>
              </w:rPr>
            </w:pPr>
            <w:r w:rsidRPr="001252BB">
              <w:rPr>
                <w:rFonts w:asciiTheme="majorHAnsi" w:hAnsiTheme="majorHAnsi" w:cstheme="majorHAnsi"/>
              </w:rPr>
              <w:t>Position Overview</w:t>
            </w:r>
          </w:p>
        </w:tc>
        <w:tc>
          <w:tcPr>
            <w:tcW w:w="6841" w:type="dxa"/>
            <w:gridSpan w:val="2"/>
            <w:tcBorders>
              <w:top w:val="single" w:sz="2" w:space="0" w:color="auto"/>
              <w:left w:val="single" w:sz="2" w:space="0" w:color="auto"/>
              <w:bottom w:val="single" w:sz="2" w:space="0" w:color="auto"/>
              <w:right w:val="single" w:sz="2" w:space="0" w:color="auto"/>
            </w:tcBorders>
          </w:tcPr>
          <w:p w:rsidR="004006C0" w:rsidRPr="001252BB" w:rsidRDefault="004006C0" w:rsidP="00E4729D">
            <w:pPr>
              <w:contextualSpacing/>
              <w:rPr>
                <w:rFonts w:asciiTheme="majorHAnsi" w:hAnsiTheme="majorHAnsi" w:cstheme="majorHAnsi"/>
                <w:bCs/>
              </w:rPr>
            </w:pPr>
            <w:r w:rsidRPr="001252BB">
              <w:rPr>
                <w:rFonts w:asciiTheme="majorHAnsi" w:hAnsiTheme="majorHAnsi" w:cstheme="majorHAnsi"/>
              </w:rPr>
              <w:t>The Office of the Legal Adviser furnishes advice on all legal issues, domestic and international, arising in the course of the department work. This includes assisting department principals and policy officers in formulating and implementing the foreign policies of the United States, and promoting the development of international law and its institutions as a fundamental element of those policies.</w:t>
            </w:r>
          </w:p>
        </w:tc>
      </w:tr>
      <w:tr w:rsidR="004006C0" w:rsidRPr="001252BB" w:rsidTr="001252BB">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006C0" w:rsidRPr="001252BB" w:rsidRDefault="004006C0" w:rsidP="00E4729D">
            <w:pPr>
              <w:contextualSpacing/>
              <w:rPr>
                <w:rFonts w:asciiTheme="majorHAnsi" w:hAnsiTheme="majorHAnsi" w:cstheme="majorHAnsi"/>
                <w:i/>
              </w:rPr>
            </w:pPr>
            <w:r w:rsidRPr="001252BB">
              <w:rPr>
                <w:rFonts w:asciiTheme="majorHAnsi" w:hAnsiTheme="majorHAnsi" w:cstheme="majorHAnsi"/>
              </w:rPr>
              <w:t>Compensation</w:t>
            </w:r>
          </w:p>
        </w:tc>
        <w:tc>
          <w:tcPr>
            <w:tcW w:w="6841" w:type="dxa"/>
            <w:gridSpan w:val="2"/>
            <w:tcBorders>
              <w:top w:val="single" w:sz="2" w:space="0" w:color="auto"/>
              <w:left w:val="single" w:sz="2" w:space="0" w:color="auto"/>
              <w:bottom w:val="single" w:sz="2" w:space="0" w:color="auto"/>
              <w:right w:val="single" w:sz="2" w:space="0" w:color="auto"/>
            </w:tcBorders>
            <w:shd w:val="clear" w:color="auto" w:fill="auto"/>
          </w:tcPr>
          <w:p w:rsidR="004006C0" w:rsidRPr="001252BB" w:rsidRDefault="00034AA6" w:rsidP="008B0F00">
            <w:pPr>
              <w:contextualSpacing/>
              <w:rPr>
                <w:rFonts w:asciiTheme="majorHAnsi" w:hAnsiTheme="majorHAnsi" w:cstheme="majorHAnsi"/>
                <w:bCs/>
              </w:rPr>
            </w:pPr>
            <w:r w:rsidRPr="001252BB">
              <w:rPr>
                <w:rFonts w:asciiTheme="majorHAnsi" w:hAnsiTheme="majorHAnsi" w:cstheme="majorHAnsi"/>
                <w:bCs/>
              </w:rPr>
              <w:t>Level IV $</w:t>
            </w:r>
            <w:r w:rsidR="008B0F00">
              <w:rPr>
                <w:rFonts w:asciiTheme="majorHAnsi" w:hAnsiTheme="majorHAnsi" w:cstheme="majorHAnsi"/>
                <w:bCs/>
              </w:rPr>
              <w:t>155,500</w:t>
            </w:r>
            <w:r w:rsidR="004006C0" w:rsidRPr="001252BB">
              <w:rPr>
                <w:rFonts w:asciiTheme="majorHAnsi" w:hAnsiTheme="majorHAnsi" w:cstheme="majorHAnsi"/>
                <w:bCs/>
                <w:vertAlign w:val="superscript"/>
              </w:rPr>
              <w:t xml:space="preserve"> </w:t>
            </w:r>
            <w:r w:rsidR="004006C0" w:rsidRPr="001252BB">
              <w:rPr>
                <w:rFonts w:asciiTheme="majorHAnsi" w:hAnsiTheme="majorHAnsi" w:cstheme="majorHAnsi"/>
                <w:bCs/>
              </w:rPr>
              <w:t>(5 U.S.C. § 5315)</w:t>
            </w:r>
            <w:r w:rsidR="001252BB" w:rsidRPr="001252BB">
              <w:rPr>
                <w:rStyle w:val="EndnoteReference"/>
                <w:rFonts w:asciiTheme="majorHAnsi" w:hAnsiTheme="majorHAnsi" w:cstheme="majorHAnsi"/>
                <w:bCs/>
              </w:rPr>
              <w:endnoteReference w:id="1"/>
            </w:r>
          </w:p>
        </w:tc>
      </w:tr>
      <w:tr w:rsidR="004006C0" w:rsidRPr="001252BB" w:rsidTr="001252BB">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006C0" w:rsidRPr="001252BB" w:rsidRDefault="004006C0" w:rsidP="00E4729D">
            <w:pPr>
              <w:contextualSpacing/>
              <w:rPr>
                <w:rFonts w:asciiTheme="majorHAnsi" w:hAnsiTheme="majorHAnsi" w:cstheme="majorHAnsi"/>
              </w:rPr>
            </w:pPr>
            <w:r w:rsidRPr="001252BB">
              <w:rPr>
                <w:rFonts w:asciiTheme="majorHAnsi" w:hAnsiTheme="majorHAnsi" w:cstheme="majorHAnsi"/>
              </w:rPr>
              <w:t>Position Reports to</w:t>
            </w:r>
          </w:p>
        </w:tc>
        <w:tc>
          <w:tcPr>
            <w:tcW w:w="6841" w:type="dxa"/>
            <w:gridSpan w:val="2"/>
            <w:tcBorders>
              <w:top w:val="single" w:sz="2" w:space="0" w:color="auto"/>
              <w:left w:val="single" w:sz="2" w:space="0" w:color="auto"/>
              <w:bottom w:val="single" w:sz="2" w:space="0" w:color="auto"/>
              <w:right w:val="single" w:sz="2" w:space="0" w:color="auto"/>
            </w:tcBorders>
          </w:tcPr>
          <w:p w:rsidR="004006C0" w:rsidRPr="001252BB" w:rsidRDefault="004006C0" w:rsidP="00E4729D">
            <w:pPr>
              <w:contextualSpacing/>
              <w:rPr>
                <w:rFonts w:asciiTheme="majorHAnsi" w:hAnsiTheme="majorHAnsi" w:cstheme="majorHAnsi"/>
              </w:rPr>
            </w:pPr>
            <w:r w:rsidRPr="001252BB">
              <w:rPr>
                <w:rFonts w:asciiTheme="majorHAnsi" w:hAnsiTheme="majorHAnsi" w:cstheme="majorHAnsi"/>
              </w:rPr>
              <w:t>Secretary and Deputy Secretary of the Department of State</w:t>
            </w:r>
          </w:p>
        </w:tc>
      </w:tr>
      <w:tr w:rsidR="004006C0" w:rsidRPr="001252BB" w:rsidTr="001252BB">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4006C0" w:rsidRPr="001252BB" w:rsidRDefault="004006C0" w:rsidP="00E4729D">
            <w:pPr>
              <w:contextualSpacing/>
              <w:jc w:val="center"/>
              <w:rPr>
                <w:rFonts w:asciiTheme="majorHAnsi" w:hAnsiTheme="majorHAnsi" w:cstheme="majorHAnsi"/>
                <w:b/>
              </w:rPr>
            </w:pPr>
            <w:r w:rsidRPr="001252BB">
              <w:rPr>
                <w:rFonts w:asciiTheme="majorHAnsi" w:hAnsiTheme="majorHAnsi" w:cstheme="majorHAnsi"/>
                <w:b/>
              </w:rPr>
              <w:t>RESPONSIBILITIES</w:t>
            </w:r>
          </w:p>
        </w:tc>
      </w:tr>
      <w:tr w:rsidR="004006C0" w:rsidRPr="001252BB" w:rsidTr="001252BB">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006C0" w:rsidRPr="001252BB" w:rsidRDefault="004006C0" w:rsidP="00E4729D">
            <w:pPr>
              <w:contextualSpacing/>
              <w:rPr>
                <w:rFonts w:asciiTheme="majorHAnsi" w:hAnsiTheme="majorHAnsi" w:cstheme="majorHAnsi"/>
              </w:rPr>
            </w:pPr>
            <w:r w:rsidRPr="001252BB">
              <w:rPr>
                <w:rFonts w:asciiTheme="majorHAnsi" w:hAnsiTheme="majorHAnsi" w:cstheme="majorHAnsi"/>
              </w:rPr>
              <w:t>Management Scope</w:t>
            </w:r>
          </w:p>
        </w:tc>
        <w:tc>
          <w:tcPr>
            <w:tcW w:w="6841" w:type="dxa"/>
            <w:gridSpan w:val="2"/>
            <w:tcBorders>
              <w:top w:val="single" w:sz="2" w:space="0" w:color="auto"/>
              <w:left w:val="single" w:sz="2" w:space="0" w:color="auto"/>
              <w:bottom w:val="single" w:sz="2" w:space="0" w:color="auto"/>
              <w:right w:val="single" w:sz="2" w:space="0" w:color="auto"/>
            </w:tcBorders>
          </w:tcPr>
          <w:p w:rsidR="004006C0" w:rsidRPr="001252BB" w:rsidRDefault="004006C0" w:rsidP="00E4729D">
            <w:pPr>
              <w:contextualSpacing/>
              <w:rPr>
                <w:rFonts w:asciiTheme="majorHAnsi" w:hAnsiTheme="majorHAnsi" w:cstheme="majorHAnsi"/>
                <w:bCs/>
              </w:rPr>
            </w:pPr>
            <w:r w:rsidRPr="001252BB">
              <w:rPr>
                <w:rFonts w:asciiTheme="majorHAnsi" w:hAnsiTheme="majorHAnsi" w:cstheme="majorHAnsi"/>
                <w:bCs/>
              </w:rPr>
              <w:t>In fiscal 2015, the Department of State had $26,498 million in outlays, and in fiscal 2014 it had 10,068 total employment. The Legal Advisor’s Office is composed of approximately 175 permanent attorneys and 100 support staff, including paralegal specialists, treaty analysts and general administrative personnel. Although the majority of staff are stationed in Washington, D.C., attorneys from the office also fill the legal counsel and deputy attorney positions at U.S. missions in Geneva and The Hague, and the legal counsel positions at U.S. missions to the European Union in Brussels and the United Nations in New York. On occasion, the office provides attorneys for other overseas posts.</w:t>
            </w:r>
          </w:p>
        </w:tc>
      </w:tr>
      <w:tr w:rsidR="004006C0" w:rsidRPr="001252BB" w:rsidTr="001252BB">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006C0" w:rsidRPr="001252BB" w:rsidRDefault="004006C0" w:rsidP="00E4729D">
            <w:pPr>
              <w:contextualSpacing/>
              <w:rPr>
                <w:rFonts w:asciiTheme="majorHAnsi" w:hAnsiTheme="majorHAnsi" w:cstheme="majorHAnsi"/>
              </w:rPr>
            </w:pPr>
            <w:r w:rsidRPr="001252BB">
              <w:rPr>
                <w:rFonts w:asciiTheme="majorHAnsi" w:hAnsiTheme="majorHAnsi" w:cstheme="majorHAnsi"/>
              </w:rPr>
              <w:t>Primary Responsibilities</w:t>
            </w:r>
          </w:p>
        </w:tc>
        <w:tc>
          <w:tcPr>
            <w:tcW w:w="6841" w:type="dxa"/>
            <w:gridSpan w:val="2"/>
            <w:tcBorders>
              <w:top w:val="single" w:sz="2" w:space="0" w:color="auto"/>
              <w:left w:val="single" w:sz="2" w:space="0" w:color="auto"/>
              <w:bottom w:val="single" w:sz="2" w:space="0" w:color="auto"/>
              <w:right w:val="single" w:sz="2" w:space="0" w:color="auto"/>
            </w:tcBorders>
          </w:tcPr>
          <w:p w:rsidR="004006C0" w:rsidRPr="001252BB" w:rsidRDefault="004006C0" w:rsidP="004006C0">
            <w:pPr>
              <w:numPr>
                <w:ilvl w:val="0"/>
                <w:numId w:val="34"/>
              </w:numPr>
              <w:contextualSpacing/>
              <w:rPr>
                <w:rFonts w:asciiTheme="majorHAnsi" w:eastAsia="Calibri" w:hAnsiTheme="majorHAnsi" w:cstheme="majorHAnsi"/>
              </w:rPr>
            </w:pPr>
            <w:r w:rsidRPr="001252BB">
              <w:rPr>
                <w:rFonts w:asciiTheme="majorHAnsi" w:eastAsia="Calibri" w:hAnsiTheme="majorHAnsi" w:cstheme="majorHAnsi"/>
              </w:rPr>
              <w:t>Serves as the department’s general counsel</w:t>
            </w:r>
          </w:p>
          <w:p w:rsidR="004006C0" w:rsidRPr="001252BB" w:rsidRDefault="004006C0" w:rsidP="004006C0">
            <w:pPr>
              <w:numPr>
                <w:ilvl w:val="0"/>
                <w:numId w:val="34"/>
              </w:numPr>
              <w:contextualSpacing/>
              <w:rPr>
                <w:rFonts w:asciiTheme="majorHAnsi" w:eastAsia="Calibri" w:hAnsiTheme="majorHAnsi" w:cstheme="majorHAnsi"/>
              </w:rPr>
            </w:pPr>
            <w:r w:rsidRPr="001252BB">
              <w:rPr>
                <w:rFonts w:asciiTheme="majorHAnsi" w:eastAsia="Calibri" w:hAnsiTheme="majorHAnsi" w:cstheme="majorHAnsi"/>
              </w:rPr>
              <w:t>Furnishes advice on all legal issues, domestic and international, arising in the course of the department's work</w:t>
            </w:r>
          </w:p>
          <w:p w:rsidR="004006C0" w:rsidRPr="001252BB" w:rsidRDefault="004006C0" w:rsidP="004006C0">
            <w:pPr>
              <w:numPr>
                <w:ilvl w:val="0"/>
                <w:numId w:val="34"/>
              </w:numPr>
              <w:contextualSpacing/>
              <w:rPr>
                <w:rFonts w:asciiTheme="majorHAnsi" w:eastAsia="Calibri" w:hAnsiTheme="majorHAnsi" w:cstheme="majorHAnsi"/>
              </w:rPr>
            </w:pPr>
            <w:r w:rsidRPr="001252BB">
              <w:rPr>
                <w:rFonts w:asciiTheme="majorHAnsi" w:eastAsia="Calibri" w:hAnsiTheme="majorHAnsi" w:cstheme="majorHAnsi"/>
              </w:rPr>
              <w:t>Assists department principals and policy officers in formulating and implementing U.S. foreign policy and promoting adherence to, and development of, international law</w:t>
            </w:r>
          </w:p>
          <w:p w:rsidR="004006C0" w:rsidRPr="001252BB" w:rsidRDefault="004006C0" w:rsidP="004006C0">
            <w:pPr>
              <w:numPr>
                <w:ilvl w:val="0"/>
                <w:numId w:val="34"/>
              </w:numPr>
              <w:contextualSpacing/>
              <w:rPr>
                <w:rFonts w:asciiTheme="majorHAnsi" w:eastAsia="Calibri" w:hAnsiTheme="majorHAnsi" w:cstheme="majorHAnsi"/>
              </w:rPr>
            </w:pPr>
            <w:r w:rsidRPr="001252BB">
              <w:rPr>
                <w:rFonts w:asciiTheme="majorHAnsi" w:eastAsia="Calibri" w:hAnsiTheme="majorHAnsi" w:cstheme="majorHAnsi"/>
              </w:rPr>
              <w:t>Works with department officials on legislative initiatives and drafts, and interpret domestic statutes, departmental regulations, executive orders and other legal documents</w:t>
            </w:r>
          </w:p>
          <w:p w:rsidR="004006C0" w:rsidRPr="001252BB" w:rsidRDefault="004006C0" w:rsidP="004006C0">
            <w:pPr>
              <w:numPr>
                <w:ilvl w:val="0"/>
                <w:numId w:val="34"/>
              </w:numPr>
              <w:contextualSpacing/>
              <w:rPr>
                <w:rFonts w:asciiTheme="majorHAnsi" w:eastAsia="Calibri" w:hAnsiTheme="majorHAnsi" w:cstheme="majorHAnsi"/>
              </w:rPr>
            </w:pPr>
            <w:r w:rsidRPr="001252BB">
              <w:rPr>
                <w:rFonts w:asciiTheme="majorHAnsi" w:eastAsia="Calibri" w:hAnsiTheme="majorHAnsi" w:cstheme="majorHAnsi"/>
              </w:rPr>
              <w:t xml:space="preserve">Oversees the Office of the Legal Adviser and the work of attorneys who negotiate, draft and interpret international agreements and who represent or assist in representing the United States before international tribunals, domestic courts, the Foreign Service Grievance Board, the Merit Systems </w:t>
            </w:r>
            <w:r w:rsidRPr="001252BB">
              <w:rPr>
                <w:rFonts w:asciiTheme="majorHAnsi" w:eastAsia="Calibri" w:hAnsiTheme="majorHAnsi" w:cstheme="majorHAnsi"/>
              </w:rPr>
              <w:lastRenderedPageBreak/>
              <w:t>Protection Board, the Equal Opportunity Employment Commission and the Board of Contract Appeals</w:t>
            </w:r>
          </w:p>
          <w:p w:rsidR="004006C0" w:rsidRPr="001252BB" w:rsidRDefault="004006C0" w:rsidP="004006C0">
            <w:pPr>
              <w:numPr>
                <w:ilvl w:val="0"/>
                <w:numId w:val="34"/>
              </w:numPr>
              <w:contextualSpacing/>
              <w:rPr>
                <w:rFonts w:asciiTheme="majorHAnsi" w:eastAsia="Calibri" w:hAnsiTheme="majorHAnsi" w:cstheme="majorHAnsi"/>
              </w:rPr>
            </w:pPr>
            <w:r w:rsidRPr="001252BB">
              <w:rPr>
                <w:rFonts w:asciiTheme="majorHAnsi" w:eastAsia="Calibri" w:hAnsiTheme="majorHAnsi" w:cstheme="majorHAnsi"/>
              </w:rPr>
              <w:t>Works closely with department principals, congressional and White House staff members, and senior officials at other departments and agencies</w:t>
            </w:r>
          </w:p>
        </w:tc>
      </w:tr>
      <w:tr w:rsidR="004006C0" w:rsidRPr="001252BB" w:rsidTr="001252BB">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006C0" w:rsidRPr="001252BB" w:rsidRDefault="004006C0" w:rsidP="00E4729D">
            <w:pPr>
              <w:contextualSpacing/>
              <w:rPr>
                <w:rFonts w:asciiTheme="majorHAnsi" w:hAnsiTheme="majorHAnsi" w:cstheme="majorHAnsi"/>
              </w:rPr>
            </w:pPr>
            <w:r w:rsidRPr="001252BB">
              <w:rPr>
                <w:rFonts w:asciiTheme="majorHAnsi" w:hAnsiTheme="majorHAnsi" w:cstheme="majorHAnsi"/>
              </w:rPr>
              <w:lastRenderedPageBreak/>
              <w:t>Strategic Goals and Priorities</w:t>
            </w:r>
          </w:p>
        </w:tc>
        <w:tc>
          <w:tcPr>
            <w:tcW w:w="684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006C0" w:rsidRPr="001252BB" w:rsidRDefault="004006C0" w:rsidP="00E4729D">
            <w:pPr>
              <w:ind w:left="72"/>
              <w:contextualSpacing/>
              <w:jc w:val="center"/>
              <w:rPr>
                <w:rFonts w:asciiTheme="majorHAnsi" w:hAnsiTheme="majorHAnsi" w:cstheme="majorHAnsi"/>
              </w:rPr>
            </w:pPr>
          </w:p>
          <w:p w:rsidR="004006C0" w:rsidRPr="001252BB" w:rsidRDefault="004006C0" w:rsidP="00E4729D">
            <w:pPr>
              <w:ind w:left="72"/>
              <w:contextualSpacing/>
              <w:jc w:val="center"/>
              <w:rPr>
                <w:rFonts w:asciiTheme="majorHAnsi" w:hAnsiTheme="majorHAnsi" w:cstheme="majorHAnsi"/>
              </w:rPr>
            </w:pPr>
          </w:p>
          <w:p w:rsidR="004006C0" w:rsidRPr="001252BB" w:rsidRDefault="004006C0" w:rsidP="00E4729D">
            <w:pPr>
              <w:ind w:left="72"/>
              <w:contextualSpacing/>
              <w:jc w:val="center"/>
              <w:rPr>
                <w:rFonts w:asciiTheme="majorHAnsi" w:hAnsiTheme="majorHAnsi" w:cstheme="majorHAnsi"/>
              </w:rPr>
            </w:pPr>
            <w:r w:rsidRPr="001252BB">
              <w:rPr>
                <w:rFonts w:asciiTheme="majorHAnsi" w:hAnsiTheme="majorHAnsi" w:cstheme="majorHAnsi"/>
              </w:rPr>
              <w:t xml:space="preserve">[Depends on the policy priorities of the administration] </w:t>
            </w:r>
          </w:p>
          <w:p w:rsidR="004006C0" w:rsidRPr="001252BB" w:rsidRDefault="004006C0" w:rsidP="00E4729D">
            <w:pPr>
              <w:contextualSpacing/>
              <w:rPr>
                <w:rFonts w:asciiTheme="majorHAnsi" w:hAnsiTheme="majorHAnsi" w:cstheme="majorHAnsi"/>
              </w:rPr>
            </w:pPr>
          </w:p>
          <w:p w:rsidR="004006C0" w:rsidRPr="001252BB" w:rsidRDefault="004006C0" w:rsidP="00E4729D">
            <w:pPr>
              <w:contextualSpacing/>
              <w:rPr>
                <w:rFonts w:asciiTheme="majorHAnsi" w:hAnsiTheme="majorHAnsi" w:cstheme="majorHAnsi"/>
              </w:rPr>
            </w:pPr>
          </w:p>
        </w:tc>
      </w:tr>
      <w:tr w:rsidR="004006C0" w:rsidRPr="001252BB" w:rsidTr="001252BB">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4006C0" w:rsidRPr="001252BB" w:rsidRDefault="004006C0" w:rsidP="00E4729D">
            <w:pPr>
              <w:contextualSpacing/>
              <w:jc w:val="center"/>
              <w:rPr>
                <w:rFonts w:asciiTheme="majorHAnsi" w:hAnsiTheme="majorHAnsi" w:cstheme="majorHAnsi"/>
                <w:b/>
              </w:rPr>
            </w:pPr>
            <w:r w:rsidRPr="001252BB">
              <w:rPr>
                <w:rFonts w:asciiTheme="majorHAnsi" w:hAnsiTheme="majorHAnsi" w:cstheme="majorHAnsi"/>
                <w:b/>
              </w:rPr>
              <w:t>REQUIREMENTS AND COMPETENCIES</w:t>
            </w:r>
          </w:p>
        </w:tc>
      </w:tr>
      <w:tr w:rsidR="004006C0" w:rsidRPr="001252BB" w:rsidTr="001252BB">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006C0" w:rsidRPr="001252BB" w:rsidRDefault="004006C0" w:rsidP="00E4729D">
            <w:pPr>
              <w:contextualSpacing/>
              <w:rPr>
                <w:rFonts w:asciiTheme="majorHAnsi" w:hAnsiTheme="majorHAnsi" w:cstheme="majorHAnsi"/>
              </w:rPr>
            </w:pPr>
            <w:r w:rsidRPr="001252BB">
              <w:rPr>
                <w:rFonts w:asciiTheme="majorHAnsi" w:hAnsiTheme="majorHAnsi" w:cstheme="majorHAnsi"/>
              </w:rPr>
              <w:t>Requirements</w:t>
            </w:r>
          </w:p>
        </w:tc>
        <w:tc>
          <w:tcPr>
            <w:tcW w:w="6841" w:type="dxa"/>
            <w:gridSpan w:val="2"/>
            <w:tcBorders>
              <w:top w:val="single" w:sz="2" w:space="0" w:color="auto"/>
              <w:left w:val="single" w:sz="2" w:space="0" w:color="auto"/>
              <w:bottom w:val="single" w:sz="2" w:space="0" w:color="auto"/>
              <w:right w:val="single" w:sz="2" w:space="0" w:color="auto"/>
            </w:tcBorders>
            <w:shd w:val="clear" w:color="auto" w:fill="auto"/>
          </w:tcPr>
          <w:p w:rsidR="004006C0" w:rsidRPr="001252BB" w:rsidRDefault="004006C0" w:rsidP="004006C0">
            <w:pPr>
              <w:numPr>
                <w:ilvl w:val="0"/>
                <w:numId w:val="43"/>
              </w:numPr>
              <w:ind w:left="432"/>
              <w:contextualSpacing/>
              <w:rPr>
                <w:rFonts w:asciiTheme="majorHAnsi" w:eastAsia="Calibri" w:hAnsiTheme="majorHAnsi" w:cstheme="majorHAnsi"/>
                <w:b/>
                <w:bCs/>
                <w:u w:val="single"/>
              </w:rPr>
            </w:pPr>
            <w:r w:rsidRPr="001252BB">
              <w:rPr>
                <w:rFonts w:asciiTheme="majorHAnsi" w:eastAsia="Calibri" w:hAnsiTheme="majorHAnsi" w:cstheme="majorHAnsi"/>
                <w:bCs/>
              </w:rPr>
              <w:t>Distinguished legal career of at least a decade</w:t>
            </w:r>
          </w:p>
          <w:p w:rsidR="004006C0" w:rsidRPr="001252BB" w:rsidRDefault="004006C0" w:rsidP="004006C0">
            <w:pPr>
              <w:numPr>
                <w:ilvl w:val="0"/>
                <w:numId w:val="43"/>
              </w:numPr>
              <w:ind w:left="432"/>
              <w:contextualSpacing/>
              <w:rPr>
                <w:rFonts w:asciiTheme="majorHAnsi" w:eastAsia="Calibri" w:hAnsiTheme="majorHAnsi" w:cstheme="majorHAnsi"/>
                <w:b/>
                <w:bCs/>
                <w:u w:val="single"/>
              </w:rPr>
            </w:pPr>
            <w:r w:rsidRPr="001252BB">
              <w:rPr>
                <w:rFonts w:asciiTheme="majorHAnsi" w:eastAsia="Calibri" w:hAnsiTheme="majorHAnsi" w:cstheme="majorHAnsi"/>
                <w:bCs/>
              </w:rPr>
              <w:t>Leadership and management experience</w:t>
            </w:r>
          </w:p>
          <w:p w:rsidR="004006C0" w:rsidRPr="001252BB" w:rsidRDefault="004006C0" w:rsidP="004006C0">
            <w:pPr>
              <w:numPr>
                <w:ilvl w:val="0"/>
                <w:numId w:val="43"/>
              </w:numPr>
              <w:ind w:left="432"/>
              <w:contextualSpacing/>
              <w:rPr>
                <w:rFonts w:asciiTheme="majorHAnsi" w:eastAsia="Calibri" w:hAnsiTheme="majorHAnsi" w:cstheme="majorHAnsi"/>
              </w:rPr>
            </w:pPr>
            <w:r w:rsidRPr="001252BB">
              <w:rPr>
                <w:rFonts w:asciiTheme="majorHAnsi" w:eastAsia="Calibri" w:hAnsiTheme="majorHAnsi" w:cstheme="majorHAnsi"/>
              </w:rPr>
              <w:t>Substantive expertise in domestic and international law</w:t>
            </w:r>
          </w:p>
          <w:p w:rsidR="004006C0" w:rsidRPr="001252BB" w:rsidRDefault="004006C0" w:rsidP="004006C0">
            <w:pPr>
              <w:numPr>
                <w:ilvl w:val="0"/>
                <w:numId w:val="43"/>
              </w:numPr>
              <w:ind w:left="432"/>
              <w:contextualSpacing/>
              <w:rPr>
                <w:rFonts w:asciiTheme="majorHAnsi" w:eastAsia="Calibri" w:hAnsiTheme="majorHAnsi" w:cstheme="majorHAnsi"/>
              </w:rPr>
            </w:pPr>
            <w:r w:rsidRPr="001252BB">
              <w:rPr>
                <w:rFonts w:asciiTheme="majorHAnsi" w:eastAsia="Calibri" w:hAnsiTheme="majorHAnsi" w:cstheme="majorHAnsi"/>
              </w:rPr>
              <w:t>Effective public relations and speaking abilities</w:t>
            </w:r>
          </w:p>
          <w:p w:rsidR="004006C0" w:rsidRPr="001252BB" w:rsidRDefault="004006C0" w:rsidP="004006C0">
            <w:pPr>
              <w:numPr>
                <w:ilvl w:val="0"/>
                <w:numId w:val="43"/>
              </w:numPr>
              <w:ind w:left="432"/>
              <w:contextualSpacing/>
              <w:rPr>
                <w:rFonts w:asciiTheme="majorHAnsi" w:eastAsia="Calibri" w:hAnsiTheme="majorHAnsi" w:cstheme="majorHAnsi"/>
              </w:rPr>
            </w:pPr>
            <w:r w:rsidRPr="001252BB">
              <w:rPr>
                <w:rFonts w:asciiTheme="majorHAnsi" w:eastAsia="Calibri" w:hAnsiTheme="majorHAnsi" w:cstheme="majorHAnsi"/>
              </w:rPr>
              <w:t>Proven negotiating skills</w:t>
            </w:r>
          </w:p>
          <w:p w:rsidR="004006C0" w:rsidRPr="001252BB" w:rsidRDefault="004006C0" w:rsidP="004006C0">
            <w:pPr>
              <w:numPr>
                <w:ilvl w:val="0"/>
                <w:numId w:val="43"/>
              </w:numPr>
              <w:ind w:left="432"/>
              <w:contextualSpacing/>
              <w:rPr>
                <w:rFonts w:asciiTheme="majorHAnsi" w:eastAsia="Calibri" w:hAnsiTheme="majorHAnsi" w:cstheme="majorHAnsi"/>
              </w:rPr>
            </w:pPr>
            <w:r w:rsidRPr="001252BB">
              <w:rPr>
                <w:rFonts w:asciiTheme="majorHAnsi" w:eastAsia="Calibri" w:hAnsiTheme="majorHAnsi" w:cstheme="majorHAnsi"/>
              </w:rPr>
              <w:t>High level of energy for extensive foreign travel and interactions</w:t>
            </w:r>
          </w:p>
          <w:p w:rsidR="004006C0" w:rsidRPr="001252BB" w:rsidRDefault="004006C0" w:rsidP="004006C0">
            <w:pPr>
              <w:numPr>
                <w:ilvl w:val="0"/>
                <w:numId w:val="43"/>
              </w:numPr>
              <w:ind w:left="432"/>
              <w:contextualSpacing/>
              <w:rPr>
                <w:rFonts w:asciiTheme="majorHAnsi" w:eastAsia="Calibri" w:hAnsiTheme="majorHAnsi" w:cstheme="majorHAnsi"/>
              </w:rPr>
            </w:pPr>
            <w:r w:rsidRPr="001252BB">
              <w:rPr>
                <w:rFonts w:asciiTheme="majorHAnsi" w:eastAsia="Calibri" w:hAnsiTheme="majorHAnsi" w:cstheme="majorHAnsi"/>
              </w:rPr>
              <w:t>Ability to work under high pressure</w:t>
            </w:r>
          </w:p>
          <w:p w:rsidR="004006C0" w:rsidRPr="001252BB" w:rsidRDefault="004006C0" w:rsidP="004006C0">
            <w:pPr>
              <w:numPr>
                <w:ilvl w:val="0"/>
                <w:numId w:val="43"/>
              </w:numPr>
              <w:ind w:left="432"/>
              <w:contextualSpacing/>
              <w:rPr>
                <w:rFonts w:asciiTheme="majorHAnsi" w:eastAsia="Calibri" w:hAnsiTheme="majorHAnsi" w:cstheme="majorHAnsi"/>
              </w:rPr>
            </w:pPr>
            <w:r w:rsidRPr="001252BB">
              <w:rPr>
                <w:rFonts w:asciiTheme="majorHAnsi" w:eastAsia="Calibri" w:hAnsiTheme="majorHAnsi" w:cstheme="majorHAnsi"/>
              </w:rPr>
              <w:t>Ability to handle sensitive matters</w:t>
            </w:r>
          </w:p>
        </w:tc>
      </w:tr>
      <w:tr w:rsidR="004006C0" w:rsidRPr="001252BB" w:rsidTr="001252BB">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006C0" w:rsidRPr="001252BB" w:rsidRDefault="004006C0" w:rsidP="00E4729D">
            <w:pPr>
              <w:contextualSpacing/>
              <w:rPr>
                <w:rFonts w:asciiTheme="majorHAnsi" w:hAnsiTheme="majorHAnsi" w:cstheme="majorHAnsi"/>
              </w:rPr>
            </w:pPr>
            <w:r w:rsidRPr="001252BB">
              <w:rPr>
                <w:rFonts w:asciiTheme="majorHAnsi" w:hAnsiTheme="majorHAnsi" w:cstheme="majorHAnsi"/>
              </w:rPr>
              <w:t>Competencies</w:t>
            </w:r>
          </w:p>
        </w:tc>
        <w:tc>
          <w:tcPr>
            <w:tcW w:w="6841" w:type="dxa"/>
            <w:gridSpan w:val="2"/>
            <w:tcBorders>
              <w:top w:val="single" w:sz="2" w:space="0" w:color="auto"/>
              <w:left w:val="single" w:sz="2" w:space="0" w:color="auto"/>
              <w:bottom w:val="single" w:sz="2" w:space="0" w:color="auto"/>
              <w:right w:val="single" w:sz="2" w:space="0" w:color="auto"/>
            </w:tcBorders>
          </w:tcPr>
          <w:p w:rsidR="004006C0" w:rsidRPr="001252BB" w:rsidRDefault="004006C0" w:rsidP="004006C0">
            <w:pPr>
              <w:numPr>
                <w:ilvl w:val="0"/>
                <w:numId w:val="32"/>
              </w:numPr>
              <w:contextualSpacing/>
              <w:rPr>
                <w:rFonts w:asciiTheme="majorHAnsi" w:eastAsia="Calibri" w:hAnsiTheme="majorHAnsi" w:cstheme="majorHAnsi"/>
                <w:bCs/>
              </w:rPr>
            </w:pPr>
            <w:r w:rsidRPr="001252BB">
              <w:rPr>
                <w:rFonts w:asciiTheme="majorHAnsi" w:eastAsia="Calibri" w:hAnsiTheme="majorHAnsi" w:cstheme="majorHAnsi"/>
                <w:bCs/>
              </w:rPr>
              <w:t>Strategic Orientation</w:t>
            </w:r>
            <w:r w:rsidRPr="001252BB">
              <w:rPr>
                <w:rFonts w:asciiTheme="majorHAnsi" w:eastAsia="Calibri" w:hAnsiTheme="majorHAnsi" w:cstheme="majorHAnsi"/>
                <w:bCs/>
                <w:i/>
              </w:rPr>
              <w:t>:</w:t>
            </w:r>
            <w:r w:rsidRPr="001252BB">
              <w:rPr>
                <w:rFonts w:asciiTheme="majorHAnsi" w:eastAsia="Calibri" w:hAnsiTheme="majorHAnsi" w:cstheme="majorHAnsi"/>
                <w:bCs/>
              </w:rPr>
              <w:t xml:space="preserve"> demonstrates complex thinking abilities, incorporating both analytical and conceptual abilities to manage and develop legal plans and strategies</w:t>
            </w:r>
          </w:p>
          <w:p w:rsidR="004006C0" w:rsidRPr="001252BB" w:rsidRDefault="004006C0" w:rsidP="004006C0">
            <w:pPr>
              <w:numPr>
                <w:ilvl w:val="0"/>
                <w:numId w:val="32"/>
              </w:numPr>
              <w:contextualSpacing/>
              <w:rPr>
                <w:rFonts w:asciiTheme="majorHAnsi" w:eastAsia="Calibri" w:hAnsiTheme="majorHAnsi" w:cstheme="majorHAnsi"/>
                <w:bCs/>
              </w:rPr>
            </w:pPr>
            <w:r w:rsidRPr="001252BB">
              <w:rPr>
                <w:rFonts w:asciiTheme="majorHAnsi" w:eastAsia="Calibri" w:hAnsiTheme="majorHAnsi" w:cstheme="majorHAnsi"/>
                <w:bCs/>
              </w:rPr>
              <w:t>Results Orientation: demonstrated ability to be proactive, exercise independent judgment and manage multiple projects simultaneously; strong work ethic and a track record of producing high-quality work under deadline pressures</w:t>
            </w:r>
          </w:p>
          <w:p w:rsidR="004006C0" w:rsidRPr="001252BB" w:rsidRDefault="004006C0" w:rsidP="004006C0">
            <w:pPr>
              <w:numPr>
                <w:ilvl w:val="0"/>
                <w:numId w:val="32"/>
              </w:numPr>
              <w:contextualSpacing/>
              <w:rPr>
                <w:rFonts w:asciiTheme="majorHAnsi" w:eastAsia="Calibri" w:hAnsiTheme="majorHAnsi" w:cstheme="majorHAnsi"/>
                <w:bCs/>
              </w:rPr>
            </w:pPr>
            <w:r w:rsidRPr="001252BB">
              <w:rPr>
                <w:rFonts w:asciiTheme="majorHAnsi" w:eastAsia="Calibri" w:hAnsiTheme="majorHAnsi" w:cstheme="majorHAnsi"/>
                <w:bCs/>
              </w:rPr>
              <w:t>Team Leadership: experience effectively managing large staff of legal and administrative support professionals</w:t>
            </w:r>
          </w:p>
          <w:p w:rsidR="004006C0" w:rsidRPr="001252BB" w:rsidRDefault="004006C0" w:rsidP="004006C0">
            <w:pPr>
              <w:numPr>
                <w:ilvl w:val="0"/>
                <w:numId w:val="32"/>
              </w:numPr>
              <w:contextualSpacing/>
              <w:rPr>
                <w:rFonts w:asciiTheme="majorHAnsi" w:eastAsia="Calibri" w:hAnsiTheme="majorHAnsi" w:cstheme="majorHAnsi"/>
                <w:bCs/>
                <w:i/>
              </w:rPr>
            </w:pPr>
            <w:r w:rsidRPr="001252BB">
              <w:rPr>
                <w:rFonts w:asciiTheme="majorHAnsi" w:eastAsia="Calibri" w:hAnsiTheme="majorHAnsi" w:cstheme="majorHAnsi"/>
                <w:bCs/>
              </w:rPr>
              <w:t>Collaboration &amp; Influencing</w:t>
            </w:r>
            <w:r w:rsidRPr="001252BB">
              <w:rPr>
                <w:rFonts w:asciiTheme="majorHAnsi" w:eastAsia="Calibri" w:hAnsiTheme="majorHAnsi" w:cstheme="majorHAnsi"/>
                <w:bCs/>
                <w:i/>
              </w:rPr>
              <w:t xml:space="preserve">: </w:t>
            </w:r>
            <w:r w:rsidRPr="001252BB">
              <w:rPr>
                <w:rFonts w:asciiTheme="majorHAnsi" w:eastAsia="Calibri" w:hAnsiTheme="majorHAnsi" w:cstheme="majorHAnsi"/>
                <w:bCs/>
              </w:rPr>
              <w:t>proven track record of creating and managing relationships with peer executives inside the organization, outside counsel, and third parties and institutions.</w:t>
            </w:r>
          </w:p>
        </w:tc>
      </w:tr>
      <w:bookmarkEnd w:id="0"/>
      <w:tr w:rsidR="004006C0" w:rsidRPr="001252BB" w:rsidTr="001252BB">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4006C0" w:rsidRPr="001252BB" w:rsidRDefault="004006C0" w:rsidP="004006C0">
            <w:pPr>
              <w:contextualSpacing/>
              <w:jc w:val="center"/>
              <w:rPr>
                <w:rFonts w:asciiTheme="majorHAnsi" w:hAnsiTheme="majorHAnsi" w:cstheme="majorHAnsi"/>
                <w:b/>
              </w:rPr>
            </w:pPr>
            <w:r w:rsidRPr="001252BB">
              <w:rPr>
                <w:rFonts w:asciiTheme="majorHAnsi" w:hAnsiTheme="majorHAnsi" w:cstheme="majorHAnsi"/>
                <w:b/>
              </w:rPr>
              <w:t>PAST APPOINTEES</w:t>
            </w:r>
          </w:p>
        </w:tc>
      </w:tr>
      <w:tr w:rsidR="004006C0" w:rsidRPr="001252BB" w:rsidTr="001252BB">
        <w:trPr>
          <w:gridAfter w:val="1"/>
          <w:wAfter w:w="7" w:type="dxa"/>
        </w:trPr>
        <w:tc>
          <w:tcPr>
            <w:tcW w:w="9462" w:type="dxa"/>
            <w:gridSpan w:val="2"/>
          </w:tcPr>
          <w:p w:rsidR="004006C0" w:rsidRPr="001252BB" w:rsidRDefault="004006C0" w:rsidP="004450DA">
            <w:pPr>
              <w:contextualSpacing/>
              <w:rPr>
                <w:rFonts w:asciiTheme="majorHAnsi" w:hAnsiTheme="majorHAnsi" w:cstheme="majorHAnsi"/>
              </w:rPr>
            </w:pPr>
            <w:r w:rsidRPr="001252BB">
              <w:rPr>
                <w:rFonts w:asciiTheme="majorHAnsi" w:hAnsiTheme="majorHAnsi" w:cstheme="majorHAnsi"/>
              </w:rPr>
              <w:t xml:space="preserve">Brian Egan (2016 – </w:t>
            </w:r>
            <w:r w:rsidR="004450DA">
              <w:rPr>
                <w:rFonts w:asciiTheme="majorHAnsi" w:hAnsiTheme="majorHAnsi" w:cstheme="majorHAnsi"/>
              </w:rPr>
              <w:t>2017</w:t>
            </w:r>
            <w:r w:rsidRPr="001252BB">
              <w:rPr>
                <w:rFonts w:asciiTheme="majorHAnsi" w:hAnsiTheme="majorHAnsi" w:cstheme="majorHAnsi"/>
              </w:rPr>
              <w:t>) Legal Adviser to the National Security Council and Deputy Assistant to the President; Assistant General Counsel for Enforcement and Intelligence at the Department of the Treasury; Deputy Legal Adviser to the National Security Staff</w:t>
            </w:r>
          </w:p>
        </w:tc>
      </w:tr>
      <w:tr w:rsidR="004006C0" w:rsidRPr="001252BB" w:rsidTr="001252BB">
        <w:trPr>
          <w:gridAfter w:val="1"/>
          <w:wAfter w:w="7" w:type="dxa"/>
        </w:trPr>
        <w:tc>
          <w:tcPr>
            <w:tcW w:w="9462" w:type="dxa"/>
            <w:gridSpan w:val="2"/>
          </w:tcPr>
          <w:p w:rsidR="004006C0" w:rsidRPr="001252BB" w:rsidRDefault="004006C0" w:rsidP="004006C0">
            <w:pPr>
              <w:contextualSpacing/>
              <w:rPr>
                <w:rFonts w:asciiTheme="majorHAnsi" w:hAnsiTheme="majorHAnsi" w:cstheme="majorHAnsi"/>
              </w:rPr>
            </w:pPr>
            <w:r w:rsidRPr="001252BB">
              <w:rPr>
                <w:rFonts w:asciiTheme="majorHAnsi" w:hAnsiTheme="majorHAnsi" w:cstheme="majorHAnsi"/>
              </w:rPr>
              <w:t>Mary McLeod (Acting) (2013 – 2016) Legal Adviser to the U.S. Mission at the United Nations; Assistant Legal Adviser for Political-Military Affairs; Assistant Legal Adviser for Eastern Asia and Pacific Affairs</w:t>
            </w:r>
          </w:p>
        </w:tc>
      </w:tr>
      <w:tr w:rsidR="004006C0" w:rsidRPr="001252BB" w:rsidTr="001252BB">
        <w:trPr>
          <w:gridAfter w:val="1"/>
          <w:wAfter w:w="7" w:type="dxa"/>
        </w:trPr>
        <w:tc>
          <w:tcPr>
            <w:tcW w:w="9462" w:type="dxa"/>
            <w:gridSpan w:val="2"/>
          </w:tcPr>
          <w:p w:rsidR="004006C0" w:rsidRPr="001252BB" w:rsidRDefault="004006C0" w:rsidP="004006C0">
            <w:pPr>
              <w:contextualSpacing/>
              <w:rPr>
                <w:rFonts w:asciiTheme="majorHAnsi" w:hAnsiTheme="majorHAnsi" w:cstheme="majorHAnsi"/>
              </w:rPr>
            </w:pPr>
            <w:r w:rsidRPr="001252BB">
              <w:rPr>
                <w:rFonts w:asciiTheme="majorHAnsi" w:hAnsiTheme="majorHAnsi" w:cstheme="majorHAnsi"/>
              </w:rPr>
              <w:t xml:space="preserve">Harold </w:t>
            </w:r>
            <w:proofErr w:type="spellStart"/>
            <w:r w:rsidRPr="001252BB">
              <w:rPr>
                <w:rFonts w:asciiTheme="majorHAnsi" w:hAnsiTheme="majorHAnsi" w:cstheme="majorHAnsi"/>
              </w:rPr>
              <w:t>Hongju</w:t>
            </w:r>
            <w:proofErr w:type="spellEnd"/>
            <w:r w:rsidRPr="001252BB">
              <w:rPr>
                <w:rFonts w:asciiTheme="majorHAnsi" w:hAnsiTheme="majorHAnsi" w:cstheme="majorHAnsi"/>
              </w:rPr>
              <w:t xml:space="preserve"> </w:t>
            </w:r>
            <w:proofErr w:type="spellStart"/>
            <w:r w:rsidRPr="001252BB">
              <w:rPr>
                <w:rFonts w:asciiTheme="majorHAnsi" w:hAnsiTheme="majorHAnsi" w:cstheme="majorHAnsi"/>
              </w:rPr>
              <w:t>Koh</w:t>
            </w:r>
            <w:proofErr w:type="spellEnd"/>
            <w:r w:rsidRPr="001252BB">
              <w:rPr>
                <w:rFonts w:asciiTheme="majorHAnsi" w:hAnsiTheme="majorHAnsi" w:cstheme="majorHAnsi"/>
              </w:rPr>
              <w:t xml:space="preserve"> (2009 – 2013) 15th Dean of Yale Law School; Assistant Secretary of State for Democracy, Human Rights and Labor; Professor of Law at Yale Law School</w:t>
            </w:r>
          </w:p>
        </w:tc>
      </w:tr>
    </w:tbl>
    <w:p w:rsidR="004A46F9" w:rsidRDefault="004A46F9" w:rsidP="004A46F9">
      <w:pPr>
        <w:pStyle w:val="Heading1"/>
        <w:rPr>
          <w:rFonts w:eastAsia="Times New Roman"/>
          <w:sz w:val="20"/>
          <w:szCs w:val="20"/>
        </w:rPr>
      </w:pPr>
      <w:r>
        <w:rPr>
          <w:rFonts w:eastAsia="Times New Roman"/>
          <w:sz w:val="20"/>
          <w:szCs w:val="20"/>
        </w:rPr>
        <w:lastRenderedPageBreak/>
        <w:t>Endnotes</w:t>
      </w:r>
    </w:p>
    <w:p w:rsidR="00224D1E" w:rsidRPr="004A46F9" w:rsidRDefault="004A46F9">
      <w:pPr>
        <w:rPr>
          <w:rFonts w:eastAsiaTheme="minorHAnsi"/>
        </w:rPr>
      </w:pPr>
      <w:r>
        <w:rPr>
          <w:rFonts w:ascii="Arial" w:hAnsi="Arial" w:cs="Arial"/>
        </w:rPr>
        <w:t xml:space="preserve">This position description was created with the help of </w:t>
      </w:r>
      <w:proofErr w:type="spellStart"/>
      <w:r>
        <w:rPr>
          <w:rFonts w:ascii="Arial" w:hAnsi="Arial" w:cs="Arial"/>
        </w:rPr>
        <w:t>Egon</w:t>
      </w:r>
      <w:proofErr w:type="spellEnd"/>
      <w:r>
        <w:rPr>
          <w:rFonts w:ascii="Arial" w:hAnsi="Arial" w:cs="Arial"/>
        </w:rPr>
        <w:t xml:space="preserve"> </w:t>
      </w:r>
      <w:proofErr w:type="spellStart"/>
      <w:r>
        <w:rPr>
          <w:rFonts w:ascii="Arial" w:hAnsi="Arial" w:cs="Arial"/>
        </w:rPr>
        <w:t>Zehnder</w:t>
      </w:r>
      <w:proofErr w:type="spellEnd"/>
      <w:r>
        <w:rPr>
          <w:rFonts w:ascii="Arial" w:hAnsi="Arial" w:cs="Arial"/>
        </w:rPr>
        <w:t>, a global executive search firm.</w:t>
      </w:r>
    </w:p>
    <w:sectPr w:rsidR="00224D1E" w:rsidRPr="004A46F9"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ED0" w:rsidRDefault="009E4ED0" w:rsidP="001E22F1">
      <w:r>
        <w:separator/>
      </w:r>
    </w:p>
  </w:endnote>
  <w:endnote w:type="continuationSeparator" w:id="0">
    <w:p w:rsidR="009E4ED0" w:rsidRDefault="009E4ED0" w:rsidP="001E22F1">
      <w:r>
        <w:continuationSeparator/>
      </w:r>
    </w:p>
  </w:endnote>
  <w:endnote w:id="1">
    <w:p w:rsidR="001252BB" w:rsidRDefault="001252BB">
      <w:pPr>
        <w:pStyle w:val="EndnoteText"/>
      </w:pPr>
      <w:r>
        <w:rPr>
          <w:rStyle w:val="EndnoteReference"/>
        </w:rPr>
        <w:endnoteRef/>
      </w:r>
      <w:r>
        <w:t xml:space="preserve"> </w:t>
      </w:r>
      <w:r w:rsidR="008B0F00">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ED0" w:rsidRDefault="009E4ED0" w:rsidP="001E22F1">
      <w:r>
        <w:separator/>
      </w:r>
    </w:p>
  </w:footnote>
  <w:footnote w:type="continuationSeparator" w:id="0">
    <w:p w:rsidR="009E4ED0" w:rsidRDefault="009E4ED0"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8B0F00"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AF3934"/>
    <w:multiLevelType w:val="hybridMultilevel"/>
    <w:tmpl w:val="7EDE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1"/>
  </w:num>
  <w:num w:numId="4">
    <w:abstractNumId w:val="42"/>
  </w:num>
  <w:num w:numId="5">
    <w:abstractNumId w:val="5"/>
  </w:num>
  <w:num w:numId="6">
    <w:abstractNumId w:val="38"/>
  </w:num>
  <w:num w:numId="7">
    <w:abstractNumId w:val="4"/>
  </w:num>
  <w:num w:numId="8">
    <w:abstractNumId w:val="33"/>
  </w:num>
  <w:num w:numId="9">
    <w:abstractNumId w:val="14"/>
  </w:num>
  <w:num w:numId="10">
    <w:abstractNumId w:val="6"/>
  </w:num>
  <w:num w:numId="11">
    <w:abstractNumId w:val="13"/>
  </w:num>
  <w:num w:numId="12">
    <w:abstractNumId w:val="25"/>
  </w:num>
  <w:num w:numId="13">
    <w:abstractNumId w:val="23"/>
  </w:num>
  <w:num w:numId="14">
    <w:abstractNumId w:val="27"/>
  </w:num>
  <w:num w:numId="15">
    <w:abstractNumId w:val="30"/>
  </w:num>
  <w:num w:numId="16">
    <w:abstractNumId w:val="1"/>
  </w:num>
  <w:num w:numId="17">
    <w:abstractNumId w:val="20"/>
  </w:num>
  <w:num w:numId="18">
    <w:abstractNumId w:val="37"/>
  </w:num>
  <w:num w:numId="19">
    <w:abstractNumId w:val="8"/>
  </w:num>
  <w:num w:numId="20">
    <w:abstractNumId w:val="29"/>
  </w:num>
  <w:num w:numId="21">
    <w:abstractNumId w:val="34"/>
  </w:num>
  <w:num w:numId="22">
    <w:abstractNumId w:val="10"/>
  </w:num>
  <w:num w:numId="23">
    <w:abstractNumId w:val="7"/>
  </w:num>
  <w:num w:numId="24">
    <w:abstractNumId w:val="35"/>
  </w:num>
  <w:num w:numId="25">
    <w:abstractNumId w:val="12"/>
  </w:num>
  <w:num w:numId="26">
    <w:abstractNumId w:val="2"/>
  </w:num>
  <w:num w:numId="27">
    <w:abstractNumId w:val="21"/>
  </w:num>
  <w:num w:numId="28">
    <w:abstractNumId w:val="18"/>
  </w:num>
  <w:num w:numId="29">
    <w:abstractNumId w:val="22"/>
  </w:num>
  <w:num w:numId="30">
    <w:abstractNumId w:val="32"/>
  </w:num>
  <w:num w:numId="31">
    <w:abstractNumId w:val="40"/>
  </w:num>
  <w:num w:numId="32">
    <w:abstractNumId w:val="41"/>
  </w:num>
  <w:num w:numId="33">
    <w:abstractNumId w:val="9"/>
  </w:num>
  <w:num w:numId="34">
    <w:abstractNumId w:val="0"/>
  </w:num>
  <w:num w:numId="35">
    <w:abstractNumId w:val="31"/>
  </w:num>
  <w:num w:numId="36">
    <w:abstractNumId w:val="24"/>
  </w:num>
  <w:num w:numId="37">
    <w:abstractNumId w:val="26"/>
  </w:num>
  <w:num w:numId="38">
    <w:abstractNumId w:val="19"/>
  </w:num>
  <w:num w:numId="39">
    <w:abstractNumId w:val="28"/>
  </w:num>
  <w:num w:numId="40">
    <w:abstractNumId w:val="15"/>
  </w:num>
  <w:num w:numId="41">
    <w:abstractNumId w:val="36"/>
  </w:num>
  <w:num w:numId="42">
    <w:abstractNumId w:val="1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34AA6"/>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2BB"/>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06C0"/>
    <w:rsid w:val="00405A29"/>
    <w:rsid w:val="00405D3E"/>
    <w:rsid w:val="00405E4F"/>
    <w:rsid w:val="00411497"/>
    <w:rsid w:val="004142B1"/>
    <w:rsid w:val="00414F4B"/>
    <w:rsid w:val="00422D9C"/>
    <w:rsid w:val="00424234"/>
    <w:rsid w:val="00435A07"/>
    <w:rsid w:val="00441ACF"/>
    <w:rsid w:val="004450DA"/>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46F9"/>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948E9"/>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0F00"/>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4ED0"/>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284458694">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D4302A"/>
    <w:rsid w:val="00D87CDE"/>
    <w:rsid w:val="00DB07EE"/>
    <w:rsid w:val="00DB5231"/>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52C26CF8-C71E-4EFB-9F1A-02BAEF41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4574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2017-02-17T16:32:00Z</dcterms:created>
  <dcterms:modified xsi:type="dcterms:W3CDTF">2017-08-23T20:36:00Z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